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stakes claim in responsible AI at Oxford Generative AI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October 2025, Jesus College, Oxford, hosted more than 200 leaders from across industry, government, academia, media and law at the Oxford Generative AI Summit (OxGen AI 25), a major gathering to explore the impact and trajectory of generative artificial intelligence.</w:t>
      </w:r>
      <w:r/>
    </w:p>
    <w:p>
      <w:r/>
      <w:r>
        <w:t>Over two days, more than 25 panels, keynotes and fireside chats addressed the transformative role of AI in reshaping not just technology, but society itself. Three themes emerged as central to future progress: change management, AI sovereignty and trust and truth.</w:t>
      </w:r>
      <w:r/>
    </w:p>
    <w:p>
      <w:r/>
      <w:r>
        <w:t>Effective change management, speakers said, now requires inclusive strategies that engage all levels of an organisation, particularly those with limited technical expertise. Delegates warned against allowing AI vendors to dictate workflows or imposing top-down rollouts. Instead, successful adoption depends on collaborative internal dialogue and openness to experimentation. With the expected rise of agentic AI—systems capable of independent decision-making—attendees noted a likely shift in workforce dynamics, particularly for early-career workers.</w:t>
      </w:r>
      <w:r/>
    </w:p>
    <w:p>
      <w:r/>
      <w:r>
        <w:t>The theme of sovereignty captured growing unease around reliance on dominant US and Chinese tech firms. Delegates discussed how regions such as the UK and EU must balance the need for domestic innovation with the benefits of collaboration. Sovereignty in AI, speakers argued, is increasingly a matter of national security, encompassing cultural, environmental and health considerations.</w:t>
      </w:r>
      <w:r/>
    </w:p>
    <w:p>
      <w:r/>
      <w:r>
        <w:t>New research was also presented on building ‘Sovereign AI’ systems—especially within emerging 6G networks—that retain operator-level control while enabling global partnerships. These models are part of a wider push to ensure that countries maintain agency in how AI is developed and deployed.</w:t>
      </w:r>
      <w:r/>
    </w:p>
    <w:p>
      <w:r/>
      <w:r>
        <w:t>Trust in AI outputs remains a critical challenge. Large Language Models still produce unverified or inaccurate content, with one speaker likening them to “drunken graduate students”. AI-generated text and multimedia content increasingly blur the line between fact and fabrication, raising unresolved questions around ownership and legal liability.</w:t>
      </w:r>
      <w:r/>
    </w:p>
    <w:p>
      <w:r/>
      <w:r>
        <w:t>In response, some developers now anchor outputs with citations, though concerns persist over how bad actors might exploit convincing fakes. Academic work is also evolving, with frameworks like LoBOX promoting trust through institutional accountability rather than full system transparency—a recognition of AI’s intrinsic complexity.</w:t>
      </w:r>
      <w:r/>
    </w:p>
    <w:p>
      <w:r/>
      <w:r>
        <w:t>This shift aligns with newer governance models such as Human-AI Governance (HAIG), which focus on dynamic trust relationships and the distribution of authority as AI gains autonomy. These approaches are intended to ensure meaningful human oversight as AI systems assume more decision-making power.</w:t>
      </w:r>
      <w:r/>
    </w:p>
    <w:p>
      <w:r/>
      <w:r>
        <w:t>The broader context is one of geopolitical tension and industrial realignment. As AI becomes central to national strategies, competition for talent, data and compute is fragmenting the global digital economy. Generative AI and autonomous systems are now seen as defining pillars of Industry 5.0—technology that is sustainable, resilient and centred on human needs.</w:t>
      </w:r>
      <w:r/>
    </w:p>
    <w:p>
      <w:r/>
      <w:r>
        <w:t>OxGen AI 25 offered a rare space for integrated dialogue across technical, ethical, legal and strategic domains. It also reinforced the UK’s ambition to lead in responsible AI development, even as regulatory and practical challenges mount.</w:t>
      </w:r>
      <w:r/>
    </w:p>
    <w:p>
      <w:r/>
      <w:r>
        <w:t>By managing technological change, asserting strategic autonomy and fostering trustworthy systems, the UK has the opportunity to set global standards for AI governance—balancing innovation with societal benefit.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https://www.jdsupra.com/legalnews/key-takeaways-from-the-2025-oxford-1741466/</w:t>
        </w:r>
      </w:hyperlink>
      <w:r>
        <w:t xml:space="preserve"> - Please view link - unable to able to access data</w:t>
      </w:r>
      <w:r/>
    </w:p>
    <w:p>
      <w:pPr>
        <w:pStyle w:val="ListNumber"/>
        <w:spacing w:line="240" w:lineRule="auto"/>
        <w:ind w:left="720"/>
      </w:pPr>
      <w:r/>
      <w:hyperlink r:id="rId11">
        <w:r>
          <w:rPr>
            <w:color w:val="0000EE"/>
            <w:u w:val="single"/>
          </w:rPr>
          <w:t>https://www.oxgensummit.org/</w:t>
        </w:r>
      </w:hyperlink>
      <w:r>
        <w:t xml:space="preserve"> - The Oxford Generative AI Summit is a landmark event hosted by OxGen AI at Jesus College, University of Oxford, on October 16-17, 2025. The summit brings together over 200 leaders from industry, government, academia, media, and law to explore the adoption, societal implications, and future of generative AI and society. The event features keynotes, panels, and fireside chats led by distinguished leaders, fostering cross-sector participation and dialogue. The summit is designed for leaders across business, government, academia, and the media who are grappling with the enterprise value, future, and societal implications of a world transformed by AI. The intimate, two-day event will feature keynotes, panels, and fireside chats led by distinguished leaders, fostering cross-sector participation and dialogue. The summit will feature a diverse and distinguished group of over 50 speakers from the UK and beyond, including but not limited to: Matt Clifford CBE (Cofounder of Entrepreneurs First (EF)) James Manyika (Senior Vice President, Research, Labs, Technology &amp; Society, Google and Alphabet), Kanishka Narayan, Parliamentary Under-Secretary of State in the Department for Science, Innovation and Technology, Peter Hill (Chief Technology Officer, Synthesia), Euan Blair MBE (Founder &amp; CEO of Multiverse), Gina Neff, Executive Director, Minderoo Centre for Technology &amp; Democracy), Nighat Dad, Board Member at the Oversight Board, Prashanth Chandrasekar (CEO, Stack Overflow), Professor Sir Nigel Shadbolt (Leading AI researcher), Prof.</w:t>
      </w:r>
      <w:r/>
    </w:p>
    <w:p>
      <w:pPr>
        <w:pStyle w:val="ListNumber"/>
        <w:spacing w:line="240" w:lineRule="auto"/>
        <w:ind w:left="720"/>
      </w:pPr>
      <w:r/>
      <w:hyperlink r:id="rId12">
        <w:r>
          <w:rPr>
            <w:color w:val="0000EE"/>
            <w:u w:val="single"/>
          </w:rPr>
          <w:t>https://arxiv.org/abs/2505.20304</w:t>
        </w:r>
      </w:hyperlink>
      <w:r>
        <w:t xml:space="preserve"> - This paper introduces the LoBOX (Lack of Belief: Opacity &amp; eXplainability) governance ethic, a structured framework for managing artificial intelligence (AI) opacity when full transparency is infeasible. Rather than treating opacity as a design flaw, LoBOX defines it as a condition that can be ethically governed through role-calibrated explanation and institutional accountability. The framework comprises a three-stage pathway: reduce accidental opacity, bound irreducible opacity, and delegate trust through structured oversight. Integrating the RED/BLUE XAI model for stakeholder-sensitive explanation and aligned with emerging legal instruments such as the EU AI Act, LoBOX offers a scalable and context-aware alternative to transparency-centric approaches. The paper reframes trust not as a function of complete system explainability, but as an outcome of institutional credibility, structured justification, and stakeholder-responsive accountability. A governance loop cycles back to ensure that LoBOX remains responsive to evolving technological contexts and stakeholder expectations, ensuring complete opacity governance. The authors move from transparency ideals to ethical governance, emphasizing that trustworthiness in AI must be institutionally grounded and contextually justified. They also discuss how cultural or institutional trust varies in different contexts. This theoretical framework positions opacity not as a flaw but as a feature that must be actively governed to ensure responsible AI systems.</w:t>
      </w:r>
      <w:r/>
    </w:p>
    <w:p>
      <w:pPr>
        <w:pStyle w:val="ListNumber"/>
        <w:spacing w:line="240" w:lineRule="auto"/>
        <w:ind w:left="720"/>
      </w:pPr>
      <w:r/>
      <w:hyperlink r:id="rId13">
        <w:r>
          <w:rPr>
            <w:color w:val="0000EE"/>
            <w:u w:val="single"/>
          </w:rPr>
          <w:t>https://arxiv.org/abs/2509.06700</w:t>
        </w:r>
      </w:hyperlink>
      <w:r>
        <w:t xml:space="preserve"> - The advent of Generative Artificial Intelligence (GenAI), Large Language Models (LLMs), and Large Telecom Models (LTM) significantly reshapes mobile networks, especially as the telecom industry transitions from 5G's cloud-centric to AI-native 6G architectures. This transition unlocks unprecedented capabilities in real-time automation, semantic networking, and autonomous service orchestration. However, it introduces critical risks related to data sovereignty, security, explainability, and regulatory compliance, especially when AI models are trained, deployed, or governed externally. This paper introduces the concept of 'Sovereign AI' as a strategic imperative for 6G, proposing architectural, operational, and governance frameworks that enable national or operator-level control over AI development, deployment, and life-cycle management. Focusing on O-RAN architecture, the authors explore how sovereign AI-based xApps and rApps can be deployed Near-RT and Non-RT RICs to ensure policy-aligned control, secure model updates, and federated learning across trusted infrastructure. The paper analyses global strategies, technical enablers, and challenges across safety, talent, and model governance. The findings underscore that Sovereign AI is not just a regulatory necessity but a foundational pillar for secure, resilient, and ethically-aligned 6G networks.</w:t>
      </w:r>
      <w:r/>
    </w:p>
    <w:p>
      <w:pPr>
        <w:pStyle w:val="ListNumber"/>
        <w:spacing w:line="240" w:lineRule="auto"/>
        <w:ind w:left="720"/>
      </w:pPr>
      <w:r/>
      <w:hyperlink r:id="rId14">
        <w:r>
          <w:rPr>
            <w:color w:val="0000EE"/>
            <w:u w:val="single"/>
          </w:rPr>
          <w:t>https://arxiv.org/abs/2505.01651</w:t>
        </w:r>
      </w:hyperlink>
      <w:r>
        <w:t xml:space="preserve"> - This paper introduces the Human-AI Governance (HAIG) framework for analysing trust dynamics across evolving human-AI relationships. Current categorical frameworks (e.g., 'human-in-the-loop' models) inadequately capture how AI systems evolve from tools to partners, particularly as foundation models demonstrate emergent capabilities and multi-agent systems exhibit autonomous goal-setting behaviours. As systems advance, agency redistributes in complex patterns that are better represented as positions along continua rather than discrete categories, though progression may include both gradual shifts and significant step changes. The HAIG framework operates across three levels: dimensions (Decision Authority Distribution, Process Autonomy, and Accountability Configuration), continua (gradual shifts along each dimension), and thresholds (critical points requiring governance adaptation). Unlike risk-based or principle-based approaches, HAIG adopts a trust-utility orientation, focusing on maintaining appropriate trust relationships that maximise utility while ensuring sufficient safeguards. The analysis reveals how technical advances in self-supervision, reasoning authority, and distributed decision-making drive non-uniform trust evolution across both contextual variation and technological advancement. Case studies in healthcare and European regulation demonstrate how HAIG complements existing frameworks while offering a foundation for alternative approaches that anticipate governance challenges before they emerge.</w:t>
      </w:r>
      <w:r/>
    </w:p>
    <w:p>
      <w:pPr>
        <w:pStyle w:val="ListNumber"/>
        <w:spacing w:line="240" w:lineRule="auto"/>
        <w:ind w:left="720"/>
      </w:pPr>
      <w:r/>
      <w:hyperlink r:id="rId15">
        <w:r>
          <w:rPr>
            <w:color w:val="0000EE"/>
            <w:u w:val="single"/>
          </w:rPr>
          <w:t>https://arxiv.org/abs/2508.00973</w:t>
        </w:r>
      </w:hyperlink>
      <w:r>
        <w:t xml:space="preserve"> - Industry 5.0 marks a new phase in industrial evolution, emphasizing human-centricity, sustainability, and resilience through the integration of advanced technologies. Within this evolving landscape, Generative AI (GenAI) and autonomous systems are not only transforming industrial processes but also emerging as pivotal geopolitical instruments. This paper examines strategic implications of GenAI in Industry 5.0, arguing that these technologies have become national assets central to sovereignty, access, and global influence. As countries compete for AI supremacy, growing disparities in talent, computational infrastructure, and data access are reshaping global power hierarchies and accelerating the fragmentation of the digital economy. The human-centric ethos of Industry 5.0, anchored in collaboration between humans and intelligent systems, increasingly conflicts with the autonomy and opacity of GenAI, raising urgent governance challenges related to meaningful human control, dual-use risks, and accountability. The paper analyses how these dynamics influence defense strategies, industrial competitiveness, and supply chain resilience, including the geopolitical weaponization of export controls and the rise of data sovereignty. The authors synthesise technological, economic, and ethical perspectives to propose a comprehensive framework for navigating the intersection of GenAI and geopolitics. They call for governance models that balance national autonomy with international coordination while safeguarding human-centric values in an increasingly AI-driven world.</w:t>
      </w:r>
      <w:r/>
    </w:p>
    <w:p>
      <w:pPr>
        <w:pStyle w:val="ListNumber"/>
        <w:spacing w:line="240" w:lineRule="auto"/>
        <w:ind w:left="720"/>
      </w:pPr>
      <w:r/>
      <w:hyperlink r:id="rId16">
        <w:r>
          <w:rPr>
            <w:color w:val="0000EE"/>
            <w:u w:val="single"/>
          </w:rPr>
          <w:t>https://academic.oup.com/policyandsociety/article/44/1/1/7997395</w:t>
        </w:r>
      </w:hyperlink>
      <w:r>
        <w:t xml:space="preserve"> - The rapid and widespread diffusion of generative artificial intelligence (AI) has unlocked new capabilities and changed how content and services are created, shared, and consumed. This special issue builds on the 2021 Policy and Society special issue on the governance of AI by focusing on the legal, organizational, political, regulatory, and social challenges of governing generative AI. This introductory article lays the foundation for understanding generative AI and underscores its key risks, including hallucination, jailbreaking, data training and validation issues, sensitive information leakage, opacity, control challenges, and design and implementation risks. The article also discusses the importance of governance frameworks to address these challenges and ensure responsible development and deployment of generative AI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dsupra.com/legalnews/key-takeaways-from-the-2025-oxford-1741466/" TargetMode="External"/><Relationship Id="rId11" Type="http://schemas.openxmlformats.org/officeDocument/2006/relationships/hyperlink" Target="https://www.oxgensummit.org/" TargetMode="External"/><Relationship Id="rId12" Type="http://schemas.openxmlformats.org/officeDocument/2006/relationships/hyperlink" Target="https://arxiv.org/abs/2505.20304" TargetMode="External"/><Relationship Id="rId13" Type="http://schemas.openxmlformats.org/officeDocument/2006/relationships/hyperlink" Target="https://arxiv.org/abs/2509.06700" TargetMode="External"/><Relationship Id="rId14" Type="http://schemas.openxmlformats.org/officeDocument/2006/relationships/hyperlink" Target="https://arxiv.org/abs/2505.01651" TargetMode="External"/><Relationship Id="rId15" Type="http://schemas.openxmlformats.org/officeDocument/2006/relationships/hyperlink" Target="https://arxiv.org/abs/2508.00973" TargetMode="External"/><Relationship Id="rId16" Type="http://schemas.openxmlformats.org/officeDocument/2006/relationships/hyperlink" Target="https://academic.oup.com/policyandsociety/article/44/1/1/79973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