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breakthroughs signal new era for AI chips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industry is entering a phase of rapid transformation, with breakthroughs in wafer-scale computing, AI-augmented chip design and sustainable packaging driving progress towards the next generation of processors. A recent SemiEngineering report highlights how these innovations are reshaping advanced chip design and manufacturing, offering fresh opportunities for countries like the UK to strengthen their position in responsible AI innovation.</w:t>
      </w:r>
      <w:r/>
    </w:p>
    <w:p>
      <w:r/>
      <w:r>
        <w:t>Wafer-scale computing is drawing renewed focus for its ability to boost bandwidth and integration density on a single platform. Researchers note the potential for unprecedented hardware scale, though challenges remain in power management, cooling and compiler development. Success here could unlock vast gains for AI workloads that demand high-performance, tightly coupled processing.</w:t>
      </w:r>
      <w:r/>
    </w:p>
    <w:p>
      <w:r/>
      <w:r>
        <w:t>Meanwhile, new approaches to chip design are embedding intelligence directly into the hardware creation process. A notable example is the YPU—an analytics processing unit designed to monitor chip behaviour in real time with minimal energy overhead. Early studies suggest it can optimise modules dynamically, showing how machine learning can play a central role in improving efficiency at the silicon level.</w:t>
      </w:r>
      <w:r/>
    </w:p>
    <w:p>
      <w:r/>
      <w:r>
        <w:t>Sustainability is becoming a priority too. Advances in heterogeneous integration and packaging reveal potential carbon reductions of up to 70% compared with monolithic chip designs. This shift towards lower-carbon semiconductors is seen as a crucial enabler of eco-friendly AI infrastructure, marrying technological performance with environmental stewardship.</w:t>
      </w:r>
      <w:r/>
    </w:p>
    <w:p>
      <w:r/>
      <w:r>
        <w:t>Industry momentum is also evident in supply chain and packaging research. The move towards chiplets and advanced EUV photoresists is improving signal integrity while expanding the roadmap for high-performance computing. At the same time, firms such as Marvell Technology are reporting surging demand for optical products to underpin growing AI infrastructure, underscoring the market pull for these advances.</w:t>
      </w:r>
      <w:r/>
    </w:p>
    <w:p>
      <w:r/>
      <w:r>
        <w:t>This combination of accelerated technical innovation, greener processes and ecosystem investment is forging a path towards more powerful, efficient and sustainable chips. For the UK, aligning with these trends through research, supply chain resilience and targeted investment will be vital in turning semiconductor progress into a competitive advantage for AI-enabled industries.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https://semiengineering.com/chip-industry-technical-paper-roundup-sept-8/</w:t>
        </w:r>
      </w:hyperlink>
      <w:r>
        <w:t xml:space="preserve"> - Please view link - unable to able to access data</w:t>
      </w:r>
      <w:r/>
    </w:p>
    <w:p>
      <w:pPr>
        <w:pStyle w:val="ListNumber"/>
        <w:spacing w:line="240" w:lineRule="auto"/>
        <w:ind w:left="720"/>
      </w:pPr>
      <w:r/>
      <w:hyperlink r:id="rId11">
        <w:r>
          <w:rPr>
            <w:color w:val="0000EE"/>
            <w:u w:val="single"/>
          </w:rPr>
          <w:t>https://arxiv.org/abs/2310.09568</w:t>
        </w:r>
      </w:hyperlink>
      <w:r>
        <w:t xml:space="preserve"> - This paper discusses advancements, challenges, and future perspectives in wafer-scale computing, highlighting its advantages in communication bandwidth, integration density, and programmability potential. It also addresses the design challenges associated with hardware architecture, power and cooling systems, and compiler tool chains, aiming to provide a comprehensive review of existing wafer-scale chips and essential technologies.</w:t>
      </w:r>
      <w:r/>
    </w:p>
    <w:p>
      <w:pPr>
        <w:pStyle w:val="ListNumber"/>
        <w:spacing w:line="240" w:lineRule="auto"/>
        <w:ind w:left="720"/>
      </w:pPr>
      <w:r/>
      <w:hyperlink r:id="rId12">
        <w:r>
          <w:rPr>
            <w:color w:val="0000EE"/>
            <w:u w:val="single"/>
          </w:rPr>
          <w:t>https://arxiv.org/abs/2312.13428</w:t>
        </w:r>
      </w:hyperlink>
      <w:r>
        <w:t xml:space="preserve"> - The authors introduce a new data-rich paradigm for chip design, focusing on monitoring chip hardware behaviour in real-time with minimal power overheads. They present the concept of an analytics processing unit (YPU) and demonstrate its application through case studies, showing its potential in analysing instruction prefetchers and evaluating hardware modules.</w:t>
      </w:r>
      <w:r/>
    </w:p>
    <w:p>
      <w:pPr>
        <w:pStyle w:val="ListNumber"/>
        <w:spacing w:line="240" w:lineRule="auto"/>
        <w:ind w:left="720"/>
      </w:pPr>
      <w:r/>
      <w:hyperlink r:id="rId13">
        <w:r>
          <w:rPr>
            <w:color w:val="0000EE"/>
            <w:u w:val="single"/>
          </w:rPr>
          <w:t>https://arxiv.org/abs/2306.09434</w:t>
        </w:r>
      </w:hyperlink>
      <w:r>
        <w:t xml:space="preserve"> - This study introduces a carbon analysis tool designed to assess the potential of heterogeneous integration (HI) systems in facilitating greener VLSI system design and manufacturing approaches. The tool considers scaling, chiplet and packaging yields, design complexity, and carbon overheads associated with advanced packaging techniques, demonstrating that HI can achieve a reduction of embodied carbon emissions up to 70% compared to traditional large monolithic systems.</w:t>
      </w:r>
      <w:r/>
    </w:p>
    <w:p>
      <w:pPr>
        <w:pStyle w:val="ListNumber"/>
        <w:spacing w:line="240" w:lineRule="auto"/>
        <w:ind w:left="720"/>
      </w:pPr>
      <w:r/>
      <w:hyperlink r:id="rId14">
        <w:r>
          <w:rPr>
            <w:color w:val="0000EE"/>
            <w:u w:val="single"/>
          </w:rPr>
          <w:t>https://arxiv.org/abs/2310.11651</w:t>
        </w:r>
      </w:hyperlink>
      <w:r>
        <w:t xml:space="preserve"> - The paper examines the challenges and opportunities within the US microelectronics packaging ecosystem, focusing on the shift towards heterogeneous integration (HI) and the need for advanced packaging techniques. It highlights the design and security challenges associated with HI and emphasizes the importance of research and development in advanced packaging to establish a secure, efficient, and resilient semiconductor supply chain.</w:t>
      </w:r>
      <w:r/>
    </w:p>
    <w:p>
      <w:pPr>
        <w:pStyle w:val="ListNumber"/>
        <w:spacing w:line="240" w:lineRule="auto"/>
        <w:ind w:left="720"/>
      </w:pPr>
      <w:r/>
      <w:hyperlink r:id="rId15">
        <w:r>
          <w:rPr>
            <w:color w:val="0000EE"/>
            <w:u w:val="single"/>
          </w:rPr>
          <w:t>https://semiengineering.com/chip-industry-technical-paper-roundup-sept-24/</w:t>
        </w:r>
      </w:hyperlink>
      <w:r>
        <w:t xml:space="preserve"> - This roundup features a collection of recent technical papers in the chip industry, covering topics such as EUV photoresists, chiplets, multi-physics simulations, and the blurring lines between supercomputing and high-performance computing. It also discusses the future of EUV technology, signal integrity in chiplet design, and innovations driving the advanced packaging roadmap.</w:t>
      </w:r>
      <w:r/>
    </w:p>
    <w:p>
      <w:pPr>
        <w:pStyle w:val="ListNumber"/>
        <w:spacing w:line="240" w:lineRule="auto"/>
        <w:ind w:left="720"/>
      </w:pPr>
      <w:r/>
      <w:hyperlink r:id="rId16">
        <w:r>
          <w:rPr>
            <w:color w:val="0000EE"/>
            <w:u w:val="single"/>
          </w:rPr>
          <w:t>https://pro.thestreet.com/portfolio/weekly-roundup-2023-09-08</w:t>
        </w:r>
      </w:hyperlink>
      <w:r>
        <w:t xml:space="preserve"> - This weekly roundup provides updates on semiconductor companies, including Universal Display's presentation at Citi's 2023 Global Technology Conference, discussing the adoption of organic light-emitting diode (OLED) technology in smartphones, tablets, and automotive applications. It also covers Marvell Technology's earnings report, highlighting accelerating demand for optical products to meet the expansion of cloud AI deployments.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emiengineering.com/chip-industry-technical-paper-roundup-sept-8/" TargetMode="External"/><Relationship Id="rId11" Type="http://schemas.openxmlformats.org/officeDocument/2006/relationships/hyperlink" Target="https://arxiv.org/abs/2310.09568" TargetMode="External"/><Relationship Id="rId12" Type="http://schemas.openxmlformats.org/officeDocument/2006/relationships/hyperlink" Target="https://arxiv.org/abs/2312.13428" TargetMode="External"/><Relationship Id="rId13" Type="http://schemas.openxmlformats.org/officeDocument/2006/relationships/hyperlink" Target="https://arxiv.org/abs/2306.09434" TargetMode="External"/><Relationship Id="rId14" Type="http://schemas.openxmlformats.org/officeDocument/2006/relationships/hyperlink" Target="https://arxiv.org/abs/2310.11651" TargetMode="External"/><Relationship Id="rId15" Type="http://schemas.openxmlformats.org/officeDocument/2006/relationships/hyperlink" Target="https://semiengineering.com/chip-industry-technical-paper-roundup-sept-24/" TargetMode="External"/><Relationship Id="rId16" Type="http://schemas.openxmlformats.org/officeDocument/2006/relationships/hyperlink" Target="https://pro.thestreet.com/portfolio/weekly-roundup-2023-09-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